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62" w:rsidRPr="00203CE2" w:rsidRDefault="00C86F7D" w:rsidP="00C86F7D">
      <w:pPr>
        <w:jc w:val="center"/>
        <w:rPr>
          <w:rFonts w:ascii="Arial" w:hAnsi="Arial" w:cs="Arial"/>
          <w:b/>
          <w:u w:val="single"/>
        </w:rPr>
      </w:pPr>
      <w:r w:rsidRPr="00203CE2">
        <w:rPr>
          <w:rFonts w:ascii="Arial" w:hAnsi="Arial" w:cs="Arial"/>
          <w:b/>
          <w:u w:val="single"/>
        </w:rPr>
        <w:t>Surrey Tennis - Safe Recruitment P</w:t>
      </w:r>
      <w:r w:rsidR="002F5762" w:rsidRPr="00203CE2">
        <w:rPr>
          <w:rFonts w:ascii="Arial" w:hAnsi="Arial" w:cs="Arial"/>
          <w:b/>
          <w:u w:val="single"/>
        </w:rPr>
        <w:t>olicy</w:t>
      </w:r>
    </w:p>
    <w:p w:rsidR="00F10E7F" w:rsidRDefault="00F10E7F" w:rsidP="00F10E7F"/>
    <w:p w:rsidR="00F10E7F" w:rsidRPr="00F10E7F" w:rsidRDefault="009414A5" w:rsidP="00C86F7D">
      <w:pPr>
        <w:jc w:val="center"/>
        <w:rPr>
          <w:rFonts w:ascii="Arial" w:hAnsi="Arial" w:cs="Arial"/>
          <w:b/>
        </w:rPr>
      </w:pPr>
      <w:r>
        <w:rPr>
          <w:rFonts w:ascii="Arial" w:hAnsi="Arial" w:cs="Arial"/>
          <w:b/>
        </w:rPr>
        <w:t>Version 1.1 – February 2021</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Pr>
          <w:rFonts w:ascii="Arial" w:hAnsi="Arial" w:cs="Arial"/>
        </w:rPr>
        <w:t>Surrey Tennis</w:t>
      </w:r>
      <w:r w:rsidRPr="007B02C1">
        <w:rPr>
          <w:rFonts w:ascii="Arial" w:hAnsi="Arial" w:cs="Arial"/>
        </w:rPr>
        <w:t xml:space="preserve"> is committed to safeguarding children (anyone under 18) a</w:t>
      </w:r>
      <w:r w:rsidR="00CE034F">
        <w:rPr>
          <w:rFonts w:ascii="Arial" w:hAnsi="Arial" w:cs="Arial"/>
        </w:rPr>
        <w:t>nd adults at risk. Surrey Tennis</w:t>
      </w:r>
      <w:r w:rsidRPr="007B02C1">
        <w:rPr>
          <w:rFonts w:ascii="Arial" w:hAnsi="Arial" w:cs="Arial"/>
        </w:rPr>
        <w:t xml:space="preserve"> complies with National Safer</w:t>
      </w:r>
      <w:bookmarkStart w:id="0" w:name="_GoBack"/>
      <w:bookmarkEnd w:id="0"/>
      <w:r w:rsidRPr="007B02C1">
        <w:rPr>
          <w:rFonts w:ascii="Arial" w:hAnsi="Arial" w:cs="Arial"/>
        </w:rPr>
        <w:t xml:space="preserve"> Recruitment Procedures and relevant legislation to ensure a consistent and thorough rec</w:t>
      </w:r>
      <w:r w:rsidR="00CE034F">
        <w:rPr>
          <w:rFonts w:ascii="Arial" w:hAnsi="Arial" w:cs="Arial"/>
        </w:rPr>
        <w:t>ruitment process.  Surrey Tennis</w:t>
      </w:r>
      <w:r w:rsidRPr="007B02C1">
        <w:rPr>
          <w:rFonts w:ascii="Arial" w:hAnsi="Arial" w:cs="Arial"/>
        </w:rPr>
        <w:t xml:space="preserve"> conducts Disclosure and Barring Service (DBS) checks on applicable positions as part of this process.</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The</w:t>
      </w:r>
      <w:r w:rsidR="00203CE2">
        <w:rPr>
          <w:rFonts w:ascii="Arial" w:hAnsi="Arial" w:cs="Arial"/>
        </w:rPr>
        <w:t xml:space="preserve"> aim of the Safe Recruitment p</w:t>
      </w:r>
      <w:r w:rsidRPr="007B02C1">
        <w:rPr>
          <w:rFonts w:ascii="Arial" w:hAnsi="Arial" w:cs="Arial"/>
        </w:rPr>
        <w:t>olicy is to help deter people who might abuse children or adults at risk from applying for roles where they will have access to those vulnerable groups.</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 and complying with the provisions of this policy.</w:t>
      </w:r>
    </w:p>
    <w:p w:rsidR="002F5762" w:rsidRPr="007B02C1" w:rsidRDefault="002F5762" w:rsidP="002F5762">
      <w:pPr>
        <w:jc w:val="both"/>
        <w:rPr>
          <w:rFonts w:ascii="Arial" w:hAnsi="Arial" w:cs="Arial"/>
        </w:rPr>
      </w:pPr>
    </w:p>
    <w:p w:rsidR="002F5762" w:rsidRDefault="002F5762" w:rsidP="002F5762">
      <w:pPr>
        <w:jc w:val="both"/>
        <w:rPr>
          <w:rFonts w:ascii="Arial" w:hAnsi="Arial" w:cs="Arial"/>
        </w:rPr>
      </w:pPr>
      <w:r w:rsidRPr="007B02C1">
        <w:rPr>
          <w:rFonts w:ascii="Arial" w:hAnsi="Arial" w:cs="Arial"/>
        </w:rPr>
        <w:t>This Policy shall be applied consistently in relation to all staff regardless of age, disability, gender reassignment, marital or civil partnership status, pregnancy or maternity status, race, religion or belief, sex, or sexual orientation.</w:t>
      </w:r>
    </w:p>
    <w:p w:rsidR="00387D28" w:rsidRPr="007B02C1" w:rsidRDefault="00387D28" w:rsidP="002F5762">
      <w:pPr>
        <w:jc w:val="both"/>
        <w:rPr>
          <w:rFonts w:ascii="Arial" w:eastAsia="Times New Roman" w:hAnsi="Arial" w:cs="Arial"/>
          <w:iCs/>
        </w:rPr>
      </w:pPr>
    </w:p>
    <w:p w:rsidR="002F5762" w:rsidRDefault="002F5762" w:rsidP="00387D28">
      <w:pPr>
        <w:rPr>
          <w:rFonts w:ascii="Arial" w:hAnsi="Arial" w:cs="Arial"/>
          <w:b/>
          <w:u w:val="single"/>
        </w:rPr>
      </w:pPr>
      <w:r w:rsidRPr="00387D28">
        <w:rPr>
          <w:rFonts w:ascii="Arial" w:hAnsi="Arial" w:cs="Arial"/>
          <w:b/>
          <w:u w:val="single"/>
        </w:rPr>
        <w:t>Recruitment Process</w:t>
      </w:r>
    </w:p>
    <w:p w:rsidR="00387D28" w:rsidRPr="00387D28" w:rsidRDefault="00387D28" w:rsidP="00387D28">
      <w:pPr>
        <w:rPr>
          <w:rFonts w:ascii="Arial" w:hAnsi="Arial" w:cs="Arial"/>
          <w:b/>
          <w:u w:val="single"/>
        </w:rPr>
      </w:pPr>
    </w:p>
    <w:p w:rsidR="002F5762" w:rsidRPr="007B02C1" w:rsidRDefault="002F5762" w:rsidP="002F5762">
      <w:pPr>
        <w:jc w:val="both"/>
        <w:rPr>
          <w:rFonts w:ascii="Arial" w:hAnsi="Arial" w:cs="Arial"/>
        </w:rPr>
      </w:pPr>
      <w:r w:rsidRPr="007B02C1">
        <w:rPr>
          <w:rFonts w:ascii="Arial" w:hAnsi="Arial" w:cs="Arial"/>
        </w:rPr>
        <w:t>If a role involves working with children (anyone under 18) or adults at risk, the role requirements will be carefully reviewed to determine if a DBS check is required.</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We will advertise for any vacant positions and any adverts and/or job descriptions will refer to any requirements to complete the appropriate DBS check.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w:t>
      </w:r>
      <w:r w:rsidRPr="007B02C1">
        <w:rPr>
          <w:rFonts w:ascii="Arial" w:hAnsi="Arial" w:cs="Arial"/>
        </w:rPr>
        <w:lastRenderedPageBreak/>
        <w:t xml:space="preserve">candidates to demonstrate the attitudes and values that people working with children need to have.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rsidR="002F5762" w:rsidRPr="007B02C1" w:rsidRDefault="002F5762" w:rsidP="002F5762">
      <w:pPr>
        <w:jc w:val="both"/>
        <w:rPr>
          <w:rFonts w:ascii="Arial" w:hAnsi="Arial" w:cs="Arial"/>
        </w:rPr>
      </w:pPr>
    </w:p>
    <w:p w:rsidR="002F5762" w:rsidRDefault="00CE034F" w:rsidP="002F5762">
      <w:pPr>
        <w:jc w:val="both"/>
        <w:rPr>
          <w:rFonts w:ascii="Arial" w:hAnsi="Arial" w:cs="Arial"/>
        </w:rPr>
      </w:pPr>
      <w:r>
        <w:rPr>
          <w:rFonts w:ascii="Arial" w:hAnsi="Arial" w:cs="Arial"/>
        </w:rPr>
        <w:t>Surrey Tennis</w:t>
      </w:r>
      <w:r w:rsidR="002F5762" w:rsidRPr="007B02C1">
        <w:rPr>
          <w:rFonts w:ascii="Arial" w:hAnsi="Arial" w:cs="Arial"/>
        </w:rPr>
        <w:t xml:space="preserve"> provides an induction programme for all new staff which includes our safeguarding policies and procedures. As part of the induction process all new staff are required to complete an initial probationary period to ensure that their conduct, performance, behaviours and attendance meet the required standards.</w:t>
      </w:r>
    </w:p>
    <w:p w:rsidR="00387D28" w:rsidRPr="007B02C1" w:rsidRDefault="00387D28" w:rsidP="002F5762">
      <w:pPr>
        <w:jc w:val="both"/>
        <w:rPr>
          <w:rFonts w:ascii="Arial" w:hAnsi="Arial" w:cs="Arial"/>
        </w:rPr>
      </w:pPr>
    </w:p>
    <w:p w:rsidR="002F5762" w:rsidRDefault="002F5762" w:rsidP="00387D28">
      <w:pPr>
        <w:rPr>
          <w:rFonts w:ascii="Arial" w:hAnsi="Arial" w:cs="Arial"/>
          <w:b/>
          <w:u w:val="single"/>
        </w:rPr>
      </w:pPr>
      <w:r w:rsidRPr="00387D28">
        <w:rPr>
          <w:rFonts w:ascii="Arial" w:hAnsi="Arial" w:cs="Arial"/>
          <w:b/>
          <w:u w:val="single"/>
        </w:rPr>
        <w:t>DBS checks</w:t>
      </w:r>
    </w:p>
    <w:p w:rsidR="00387D28" w:rsidRPr="00387D28" w:rsidRDefault="00387D28" w:rsidP="00387D28">
      <w:pPr>
        <w:rPr>
          <w:rFonts w:ascii="Arial" w:hAnsi="Arial" w:cs="Arial"/>
          <w:b/>
          <w:u w:val="single"/>
        </w:rPr>
      </w:pPr>
    </w:p>
    <w:p w:rsidR="002F5762" w:rsidRPr="007B02C1" w:rsidRDefault="002F5762" w:rsidP="002F5762">
      <w:pPr>
        <w:jc w:val="both"/>
        <w:rPr>
          <w:rFonts w:ascii="Arial" w:hAnsi="Arial" w:cs="Arial"/>
        </w:rPr>
      </w:pPr>
      <w:r w:rsidRPr="007B02C1">
        <w:rPr>
          <w:rFonts w:ascii="Arial" w:hAnsi="Arial" w:cs="Arial"/>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Regulated activity is work that a barred person must not do. It is defined in the Safeguarding Vulnerable Groups Act 2006 (SVGA) which has been amended by the Protection of Freedoms Act 2012 (</w:t>
      </w:r>
      <w:proofErr w:type="spellStart"/>
      <w:r w:rsidRPr="007B02C1">
        <w:rPr>
          <w:rFonts w:ascii="Arial" w:hAnsi="Arial" w:cs="Arial"/>
        </w:rPr>
        <w:t>PoFA</w:t>
      </w:r>
      <w:proofErr w:type="spellEnd"/>
      <w:r w:rsidRPr="007B02C1">
        <w:rPr>
          <w:rFonts w:ascii="Arial" w:hAnsi="Arial" w:cs="Arial"/>
        </w:rPr>
        <w:t>).</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will be required to complete an Enhanced DBS check before commencement of employment or engagement and at least every 3 years during their employm</w:t>
      </w:r>
      <w:r w:rsidR="00CE034F">
        <w:rPr>
          <w:rFonts w:ascii="Arial" w:hAnsi="Arial" w:cs="Arial"/>
        </w:rPr>
        <w:t>ent or engagement. Surrey Tennis</w:t>
      </w:r>
      <w:r w:rsidRPr="007B02C1">
        <w:rPr>
          <w:rFonts w:ascii="Arial" w:hAnsi="Arial" w:cs="Arial"/>
        </w:rPr>
        <w:t xml:space="preserve"> will regularly monitor the specific nature of roles and whether they are defined as Regulated Activity.</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All conditional offers of employment or engagement are subject to receipt of a satisfactory DBS check completed through the LTA, and an Overseas Criminal Record check if appropriate. </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00CE034F">
        <w:rPr>
          <w:rFonts w:ascii="Arial" w:hAnsi="Arial" w:cs="Arial"/>
        </w:rPr>
        <w:t>Chair/Secretary</w:t>
      </w:r>
      <w:r w:rsidRPr="007B02C1">
        <w:rPr>
          <w:rFonts w:ascii="Arial" w:hAnsi="Arial" w:cs="Arial"/>
        </w:rPr>
        <w:t xml:space="preserve"> may authorise an individual to commence their work in a supervised capacity. However this does not apply to roles considered as working in Regulated activity.</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 xml:space="preserve">If we are not satisfied with the outcome of any of the above checks (DBS check or Overseas Criminal Record check) we may decide to withdraw a conditional offer of employment or engagement. We may also withdraw a conditional offer of employment or </w:t>
      </w:r>
      <w:r w:rsidRPr="007B02C1">
        <w:rPr>
          <w:rFonts w:ascii="Arial" w:hAnsi="Arial" w:cs="Arial"/>
        </w:rPr>
        <w:lastRenderedPageBreak/>
        <w:t>engagement if an applicant has failed to co-operate with this process or if the process has not been completed within reasonable timescales.</w:t>
      </w:r>
    </w:p>
    <w:p w:rsidR="002F5762" w:rsidRPr="007B02C1" w:rsidRDefault="002F5762" w:rsidP="002F5762">
      <w:pPr>
        <w:jc w:val="both"/>
        <w:rPr>
          <w:rFonts w:ascii="Arial" w:hAnsi="Arial" w:cs="Arial"/>
        </w:rPr>
      </w:pPr>
    </w:p>
    <w:p w:rsidR="002F5762" w:rsidRPr="007B02C1" w:rsidRDefault="00387D28" w:rsidP="002F5762">
      <w:pPr>
        <w:jc w:val="both"/>
        <w:rPr>
          <w:rFonts w:ascii="Arial" w:hAnsi="Arial" w:cs="Arial"/>
        </w:rPr>
      </w:pPr>
      <w:proofErr w:type="gramStart"/>
      <w:r>
        <w:rPr>
          <w:rFonts w:ascii="Arial" w:hAnsi="Arial" w:cs="Arial"/>
        </w:rPr>
        <w:t xml:space="preserve">Staff </w:t>
      </w:r>
      <w:r w:rsidR="002F5762" w:rsidRPr="007B02C1">
        <w:rPr>
          <w:rFonts w:ascii="Arial" w:hAnsi="Arial" w:cs="Arial"/>
        </w:rPr>
        <w:t>who begin</w:t>
      </w:r>
      <w:proofErr w:type="gramEnd"/>
      <w:r w:rsidR="002F5762" w:rsidRPr="007B02C1">
        <w:rPr>
          <w:rFonts w:ascii="Arial" w:hAnsi="Arial" w:cs="Arial"/>
        </w:rPr>
        <w:t xml:space="preserve"> performing additional duties or a different role that moves them into Regulated Activity will be asked to complete a new Enhanced DBS and Barred List check.</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All agency workers and contr</w:t>
      </w:r>
      <w:r w:rsidR="009A5A0E">
        <w:rPr>
          <w:rFonts w:ascii="Arial" w:hAnsi="Arial" w:cs="Arial"/>
        </w:rPr>
        <w:t>actors used by Surrey Tennis</w:t>
      </w:r>
      <w:r w:rsidRPr="007B02C1">
        <w:rPr>
          <w:rFonts w:ascii="Arial" w:hAnsi="Arial" w:cs="Arial"/>
        </w:rPr>
        <w:t xml:space="preserve"> are required to comply with the Enhanced DBS and Barred List Check requirements at all times as outlined in this Policy. If new or adverse information emerges or appropriate checks have not been made</w:t>
      </w:r>
      <w:r w:rsidR="009A5A0E">
        <w:rPr>
          <w:rFonts w:ascii="Arial" w:hAnsi="Arial" w:cs="Arial"/>
        </w:rPr>
        <w:t xml:space="preserve"> by the Agency</w:t>
      </w:r>
      <w:r w:rsidR="00E01160">
        <w:rPr>
          <w:rFonts w:ascii="Arial" w:hAnsi="Arial" w:cs="Arial"/>
        </w:rPr>
        <w:t>,</w:t>
      </w:r>
      <w:r w:rsidR="009A5A0E">
        <w:rPr>
          <w:rFonts w:ascii="Arial" w:hAnsi="Arial" w:cs="Arial"/>
        </w:rPr>
        <w:t xml:space="preserve"> Surrey Tennis</w:t>
      </w:r>
      <w:r w:rsidRPr="007B02C1">
        <w:rPr>
          <w:rFonts w:ascii="Arial" w:hAnsi="Arial" w:cs="Arial"/>
        </w:rPr>
        <w:t xml:space="preserve"> will require the Agency to withdraw the temporary worker immediatel</w:t>
      </w:r>
      <w:r w:rsidR="009A5A0E">
        <w:rPr>
          <w:rFonts w:ascii="Arial" w:hAnsi="Arial" w:cs="Arial"/>
        </w:rPr>
        <w:t>y. Furthermore Surrey Tennis</w:t>
      </w:r>
      <w:r w:rsidRPr="007B02C1">
        <w:rPr>
          <w:rFonts w:ascii="Arial" w:hAnsi="Arial" w:cs="Arial"/>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rsidR="00387D28" w:rsidRDefault="00387D28" w:rsidP="00387D28">
      <w:pPr>
        <w:rPr>
          <w:rFonts w:ascii="Arial" w:hAnsi="Arial" w:cs="Arial"/>
          <w:b/>
          <w:u w:val="single"/>
        </w:rPr>
      </w:pPr>
    </w:p>
    <w:p w:rsidR="002F5762" w:rsidRDefault="002F5762" w:rsidP="00387D28">
      <w:pPr>
        <w:rPr>
          <w:rFonts w:ascii="Arial" w:hAnsi="Arial" w:cs="Arial"/>
          <w:b/>
          <w:u w:val="single"/>
        </w:rPr>
      </w:pPr>
      <w:r w:rsidRPr="00387D28">
        <w:rPr>
          <w:rFonts w:ascii="Arial" w:hAnsi="Arial" w:cs="Arial"/>
          <w:b/>
          <w:u w:val="single"/>
        </w:rPr>
        <w:t>DBS checks revealing content</w:t>
      </w:r>
    </w:p>
    <w:p w:rsidR="00387D28" w:rsidRPr="00387D28" w:rsidRDefault="00387D28" w:rsidP="00387D28">
      <w:pPr>
        <w:rPr>
          <w:rFonts w:ascii="Arial" w:hAnsi="Arial" w:cs="Arial"/>
          <w:b/>
          <w:u w:val="single"/>
        </w:rPr>
      </w:pPr>
    </w:p>
    <w:p w:rsidR="002F5762" w:rsidRPr="007B02C1" w:rsidRDefault="002F5762" w:rsidP="002F5762">
      <w:pPr>
        <w:jc w:val="both"/>
        <w:rPr>
          <w:rFonts w:ascii="Arial" w:hAnsi="Arial" w:cs="Arial"/>
        </w:rPr>
      </w:pPr>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 applied for.</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The LTA will receive a notification when a DBS check has revealed content (i.e. an offence); however, the LTA will not know the details of the content.</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When the LTA receives a notification that a DBS check has revealed content, the applicant will be asked to provide the original DBS check for review. The LTA will then review the information to decide if any further information or action is required.</w:t>
      </w:r>
    </w:p>
    <w:p w:rsidR="002F5762" w:rsidRPr="007B02C1" w:rsidRDefault="002F5762" w:rsidP="002F5762">
      <w:pPr>
        <w:jc w:val="both"/>
        <w:rPr>
          <w:rFonts w:ascii="Arial" w:hAnsi="Arial" w:cs="Arial"/>
        </w:rPr>
      </w:pPr>
    </w:p>
    <w:p w:rsidR="002F5762" w:rsidRPr="007B02C1" w:rsidRDefault="002F5762" w:rsidP="002F5762">
      <w:pPr>
        <w:jc w:val="both"/>
        <w:rPr>
          <w:rFonts w:ascii="Arial" w:hAnsi="Arial" w:cs="Arial"/>
        </w:rPr>
      </w:pPr>
      <w:r w:rsidRPr="007B02C1">
        <w:rPr>
          <w:rFonts w:ascii="Arial" w:hAnsi="Arial" w:cs="Arial"/>
        </w:rPr>
        <w:t>If the DBS is not provided t</w:t>
      </w:r>
      <w:r w:rsidR="009A5A0E">
        <w:rPr>
          <w:rFonts w:ascii="Arial" w:hAnsi="Arial" w:cs="Arial"/>
        </w:rPr>
        <w:t>o the LTA for review, Surrey Tennis</w:t>
      </w:r>
      <w:r w:rsidRPr="007B02C1">
        <w:rPr>
          <w:rFonts w:ascii="Arial" w:hAnsi="Arial" w:cs="Arial"/>
        </w:rPr>
        <w:t xml:space="preserve"> may withdraw any conditional offer of employment or engagement and take appropriate steps to prevent the individual from working with children and adults at risk</w:t>
      </w:r>
      <w:r>
        <w:rPr>
          <w:rFonts w:ascii="Arial" w:hAnsi="Arial" w:cs="Arial"/>
        </w:rPr>
        <w:t>.</w:t>
      </w:r>
    </w:p>
    <w:p w:rsidR="00623B61" w:rsidRDefault="00623B61"/>
    <w:p w:rsidR="00623B61" w:rsidRDefault="00623B61"/>
    <w:p w:rsidR="00623B61" w:rsidRDefault="00623B61"/>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Default="004B1F80" w:rsidP="004B1F80">
      <w:pPr>
        <w:tabs>
          <w:tab w:val="left" w:pos="1418"/>
        </w:tabs>
        <w:jc w:val="both"/>
        <w:rPr>
          <w:rFonts w:ascii="Arial" w:hAnsi="Arial" w:cs="Arial"/>
        </w:rPr>
      </w:pPr>
    </w:p>
    <w:p w:rsidR="004B1F80" w:rsidRPr="00091B77" w:rsidRDefault="004B1F80" w:rsidP="004B1F80">
      <w:pPr>
        <w:tabs>
          <w:tab w:val="left" w:pos="1418"/>
        </w:tabs>
        <w:jc w:val="both"/>
        <w:rPr>
          <w:rFonts w:ascii="Arial" w:hAnsi="Arial" w:cs="Arial"/>
        </w:rPr>
      </w:pPr>
      <w:r w:rsidRPr="00091B77">
        <w:rPr>
          <w:rFonts w:ascii="Arial" w:hAnsi="Arial" w:cs="Arial"/>
        </w:rPr>
        <w:lastRenderedPageBreak/>
        <w:t>This policy is reviewed every two years (or earlier if there is a change in national legislation).</w:t>
      </w:r>
    </w:p>
    <w:p w:rsidR="004B1F80" w:rsidRPr="00091B77" w:rsidRDefault="004B1F80" w:rsidP="004B1F80">
      <w:pPr>
        <w:tabs>
          <w:tab w:val="left" w:pos="1418"/>
        </w:tabs>
        <w:jc w:val="both"/>
        <w:rPr>
          <w:rFonts w:ascii="Arial" w:hAnsi="Arial" w:cs="Arial"/>
        </w:rPr>
      </w:pPr>
    </w:p>
    <w:p w:rsidR="00387D28" w:rsidRDefault="00387D28" w:rsidP="00387D28">
      <w:pPr>
        <w:tabs>
          <w:tab w:val="left" w:pos="1418"/>
        </w:tabs>
        <w:jc w:val="both"/>
        <w:rPr>
          <w:rFonts w:ascii="Arial" w:hAnsi="Arial" w:cs="Arial"/>
        </w:rPr>
      </w:pPr>
    </w:p>
    <w:p w:rsidR="00387D28" w:rsidRDefault="00387D28" w:rsidP="00387D28">
      <w:pPr>
        <w:tabs>
          <w:tab w:val="left" w:pos="1418"/>
        </w:tabs>
        <w:jc w:val="both"/>
        <w:rPr>
          <w:rFonts w:ascii="Arial" w:hAnsi="Arial" w:cs="Arial"/>
        </w:rPr>
      </w:pPr>
    </w:p>
    <w:p w:rsidR="00387D28" w:rsidRPr="00091B77" w:rsidRDefault="00387D28" w:rsidP="00387D28">
      <w:pPr>
        <w:tabs>
          <w:tab w:val="left" w:pos="1418"/>
        </w:tabs>
        <w:jc w:val="both"/>
        <w:rPr>
          <w:rFonts w:ascii="Arial" w:hAnsi="Arial" w:cs="Arial"/>
        </w:rPr>
      </w:pPr>
      <w:r>
        <w:rPr>
          <w:rFonts w:ascii="Arial" w:hAnsi="Arial" w:cs="Arial"/>
        </w:rPr>
        <w:t>Chairperson</w:t>
      </w:r>
      <w:r w:rsidRPr="00091B77">
        <w:rPr>
          <w:rFonts w:ascii="Arial" w:hAnsi="Arial" w:cs="Arial"/>
        </w:rPr>
        <w:t>:</w:t>
      </w:r>
      <w:r>
        <w:rPr>
          <w:rFonts w:ascii="Arial" w:hAnsi="Arial" w:cs="Arial"/>
        </w:rPr>
        <w:t xml:space="preserve"> Peter Bradshaw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1B77">
        <w:rPr>
          <w:rFonts w:ascii="Arial" w:hAnsi="Arial" w:cs="Arial"/>
        </w:rPr>
        <w:t>Date:</w:t>
      </w:r>
      <w:r>
        <w:rPr>
          <w:rFonts w:ascii="Arial" w:hAnsi="Arial" w:cs="Arial"/>
        </w:rPr>
        <w:t xml:space="preserve"> February 2021</w:t>
      </w:r>
    </w:p>
    <w:p w:rsidR="00387D28" w:rsidRPr="00091B77" w:rsidRDefault="00387D28" w:rsidP="00387D28">
      <w:pPr>
        <w:tabs>
          <w:tab w:val="left" w:pos="1418"/>
        </w:tabs>
        <w:jc w:val="both"/>
        <w:rPr>
          <w:rFonts w:ascii="Arial" w:hAnsi="Arial" w:cs="Arial"/>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Default="00387D28" w:rsidP="00387D28">
      <w:pPr>
        <w:pStyle w:val="Default"/>
        <w:tabs>
          <w:tab w:val="left" w:pos="1418"/>
        </w:tabs>
        <w:jc w:val="both"/>
        <w:rPr>
          <w:rFonts w:ascii="Arial" w:hAnsi="Arial" w:cs="Arial"/>
          <w:bCs/>
        </w:rPr>
      </w:pPr>
    </w:p>
    <w:p w:rsidR="00387D28" w:rsidRPr="00BB53BF" w:rsidRDefault="00387D28" w:rsidP="00387D28">
      <w:pPr>
        <w:pStyle w:val="Default"/>
        <w:tabs>
          <w:tab w:val="left" w:pos="1418"/>
        </w:tabs>
        <w:jc w:val="both"/>
        <w:rPr>
          <w:rFonts w:ascii="Arial" w:hAnsi="Arial" w:cs="Arial"/>
        </w:rPr>
      </w:pPr>
      <w:r w:rsidRPr="00091B77">
        <w:rPr>
          <w:rFonts w:ascii="Arial" w:hAnsi="Arial" w:cs="Arial"/>
          <w:bCs/>
        </w:rPr>
        <w:t>County Safeguarding Officer</w:t>
      </w:r>
      <w:r w:rsidRPr="00091B77">
        <w:rPr>
          <w:rFonts w:ascii="Arial" w:hAnsi="Arial" w:cs="Arial"/>
        </w:rPr>
        <w:t>:</w:t>
      </w:r>
      <w:r>
        <w:rPr>
          <w:rFonts w:ascii="Arial" w:hAnsi="Arial" w:cs="Arial"/>
        </w:rPr>
        <w:t xml:space="preserve"> Tim Sagar</w:t>
      </w:r>
      <w:r w:rsidRPr="00091B77">
        <w:rPr>
          <w:rFonts w:ascii="Arial" w:hAnsi="Arial" w:cs="Arial"/>
        </w:rPr>
        <w:t xml:space="preserve"> </w:t>
      </w:r>
      <w:r w:rsidRPr="00091B77">
        <w:rPr>
          <w:rFonts w:ascii="Arial" w:hAnsi="Arial" w:cs="Arial"/>
        </w:rPr>
        <w:tab/>
      </w:r>
      <w:r w:rsidRPr="00091B77">
        <w:rPr>
          <w:rFonts w:ascii="Arial" w:hAnsi="Arial" w:cs="Arial"/>
        </w:rPr>
        <w:tab/>
      </w:r>
      <w:r>
        <w:rPr>
          <w:rFonts w:ascii="Arial" w:hAnsi="Arial" w:cs="Arial"/>
        </w:rPr>
        <w:tab/>
      </w:r>
      <w:r>
        <w:rPr>
          <w:rFonts w:ascii="Arial" w:hAnsi="Arial" w:cs="Arial"/>
        </w:rPr>
        <w:tab/>
      </w:r>
      <w:r w:rsidRPr="00091B77">
        <w:rPr>
          <w:rFonts w:ascii="Arial" w:hAnsi="Arial" w:cs="Arial"/>
        </w:rPr>
        <w:t>Date</w:t>
      </w:r>
      <w:r w:rsidRPr="00BB53BF">
        <w:rPr>
          <w:rFonts w:ascii="Arial" w:hAnsi="Arial" w:cs="Arial"/>
        </w:rPr>
        <w:t>:</w:t>
      </w:r>
      <w:r>
        <w:rPr>
          <w:rFonts w:ascii="Arial" w:hAnsi="Arial" w:cs="Arial"/>
        </w:rPr>
        <w:t xml:space="preserve"> February 2021</w:t>
      </w:r>
    </w:p>
    <w:p w:rsidR="00387D28" w:rsidRPr="009E463A" w:rsidRDefault="00387D28" w:rsidP="00387D28">
      <w:pPr>
        <w:jc w:val="both"/>
      </w:pPr>
    </w:p>
    <w:p w:rsidR="00387D28" w:rsidRDefault="00387D28" w:rsidP="00387D28">
      <w:pPr>
        <w:pStyle w:val="LTAChapterHeading"/>
      </w:pPr>
    </w:p>
    <w:p w:rsidR="00387D28" w:rsidRDefault="00387D28" w:rsidP="00387D28">
      <w:pPr>
        <w:rPr>
          <w:rFonts w:cs="Arial"/>
          <w:i/>
          <w:szCs w:val="22"/>
        </w:rPr>
      </w:pPr>
    </w:p>
    <w:p w:rsidR="00387D28" w:rsidRDefault="00387D28" w:rsidP="00387D28">
      <w:pPr>
        <w:rPr>
          <w:rFonts w:cs="Arial"/>
          <w:i/>
          <w:szCs w:val="22"/>
        </w:rPr>
      </w:pPr>
    </w:p>
    <w:p w:rsidR="00387D28" w:rsidRPr="005362C8" w:rsidRDefault="00387D28" w:rsidP="00387D28">
      <w:pPr>
        <w:rPr>
          <w:rFonts w:ascii="Arial" w:hAnsi="Arial" w:cs="Arial"/>
          <w:i/>
          <w:szCs w:val="22"/>
        </w:rPr>
      </w:pPr>
      <w:r w:rsidRPr="005362C8">
        <w:rPr>
          <w:rFonts w:ascii="Arial" w:hAnsi="Arial" w:cs="Arial"/>
          <w:i/>
          <w:szCs w:val="22"/>
        </w:rPr>
        <w:t xml:space="preserve">Next review is due February 2023. </w:t>
      </w:r>
    </w:p>
    <w:p w:rsidR="00A54660" w:rsidRDefault="00A54660"/>
    <w:sectPr w:rsidR="00A54660" w:rsidSect="00A258FE">
      <w:headerReference w:type="default" r:id="rId8"/>
      <w:footerReference w:type="default" r:id="rId9"/>
      <w:headerReference w:type="first" r:id="rId10"/>
      <w:footerReference w:type="first" r:id="rId11"/>
      <w:pgSz w:w="11906" w:h="16838"/>
      <w:pgMar w:top="2127" w:right="1440" w:bottom="184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6B" w:rsidRDefault="00C45F6B" w:rsidP="00A43484">
      <w:r>
        <w:separator/>
      </w:r>
    </w:p>
  </w:endnote>
  <w:endnote w:type="continuationSeparator" w:id="0">
    <w:p w:rsidR="00C45F6B" w:rsidRDefault="00C45F6B" w:rsidP="00A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E36F90" w:rsidP="00E36F90">
    <w:pPr>
      <w:pStyle w:val="Footer"/>
      <w:tabs>
        <w:tab w:val="clear" w:pos="4513"/>
        <w:tab w:val="clear" w:pos="9026"/>
        <w:tab w:val="left" w:pos="1065"/>
        <w:tab w:val="left" w:pos="2490"/>
      </w:tabs>
    </w:pPr>
    <w:r>
      <w:rPr>
        <w:noProof/>
        <w:lang w:eastAsia="en-GB"/>
      </w:rPr>
      <w:drawing>
        <wp:anchor distT="0" distB="0" distL="114300" distR="114300" simplePos="0" relativeHeight="251671552" behindDoc="1" locked="0" layoutInCell="1" allowOverlap="1" wp14:anchorId="290A1B4E" wp14:editId="03C64121">
          <wp:simplePos x="0" y="0"/>
          <wp:positionH relativeFrom="column">
            <wp:posOffset>-371475</wp:posOffset>
          </wp:positionH>
          <wp:positionV relativeFrom="paragraph">
            <wp:posOffset>-266700</wp:posOffset>
          </wp:positionV>
          <wp:extent cx="7210254" cy="577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254" cy="5775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Footer"/>
    </w:pPr>
    <w:r>
      <w:rPr>
        <w:noProof/>
        <w:lang w:eastAsia="en-GB"/>
      </w:rPr>
      <mc:AlternateContent>
        <mc:Choice Requires="wps">
          <w:drawing>
            <wp:anchor distT="0" distB="0" distL="114300" distR="114300" simplePos="0" relativeHeight="251669504" behindDoc="0" locked="0" layoutInCell="1" allowOverlap="1" wp14:anchorId="46D5AAB2" wp14:editId="0E025C10">
              <wp:simplePos x="0" y="0"/>
              <wp:positionH relativeFrom="column">
                <wp:posOffset>819150</wp:posOffset>
              </wp:positionH>
              <wp:positionV relativeFrom="paragraph">
                <wp:posOffset>196215</wp:posOffset>
              </wp:positionV>
              <wp:extent cx="11239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11239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5pt;margin-top:15.45pt;width:88.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6B" w:rsidRDefault="00C45F6B" w:rsidP="00A43484">
      <w:r>
        <w:separator/>
      </w:r>
    </w:p>
  </w:footnote>
  <w:footnote w:type="continuationSeparator" w:id="0">
    <w:p w:rsidR="00C45F6B" w:rsidRDefault="00C45F6B" w:rsidP="00A4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6B5B6B">
    <w:pPr>
      <w:pStyle w:val="Header"/>
    </w:pPr>
    <w:r>
      <w:rPr>
        <w:noProof/>
        <w:lang w:eastAsia="en-GB"/>
      </w:rPr>
      <w:drawing>
        <wp:anchor distT="0" distB="0" distL="114300" distR="114300" simplePos="0" relativeHeight="251672576" behindDoc="1" locked="0" layoutInCell="1" allowOverlap="1">
          <wp:simplePos x="0" y="0"/>
          <wp:positionH relativeFrom="column">
            <wp:posOffset>4192016</wp:posOffset>
          </wp:positionH>
          <wp:positionV relativeFrom="paragraph">
            <wp:posOffset>-163703</wp:posOffset>
          </wp:positionV>
          <wp:extent cx="2591561" cy="70225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_Surrey Tenn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1561" cy="702259"/>
                  </a:xfrm>
                  <a:prstGeom prst="rect">
                    <a:avLst/>
                  </a:prstGeom>
                </pic:spPr>
              </pic:pic>
            </a:graphicData>
          </a:graphic>
          <wp14:sizeRelH relativeFrom="page">
            <wp14:pctWidth>0</wp14:pctWidth>
          </wp14:sizeRelH>
          <wp14:sizeRelV relativeFrom="page">
            <wp14:pctHeight>0</wp14:pctHeight>
          </wp14:sizeRelV>
        </wp:anchor>
      </w:drawing>
    </w:r>
    <w:r w:rsidR="00E36F90" w:rsidRPr="00E36F90">
      <w:rPr>
        <w:noProof/>
        <w:lang w:eastAsia="en-GB"/>
      </w:rPr>
      <w:drawing>
        <wp:anchor distT="0" distB="0" distL="114300" distR="114300" simplePos="0" relativeHeight="251670528" behindDoc="1" locked="0" layoutInCell="1" allowOverlap="1" wp14:anchorId="5C3BFF52" wp14:editId="04BEDBFD">
          <wp:simplePos x="0" y="0"/>
          <wp:positionH relativeFrom="column">
            <wp:posOffset>-581025</wp:posOffset>
          </wp:positionH>
          <wp:positionV relativeFrom="paragraph">
            <wp:posOffset>-483904</wp:posOffset>
          </wp:positionV>
          <wp:extent cx="1790700" cy="1282099"/>
          <wp:effectExtent l="0" t="0" r="0" b="0"/>
          <wp:wrapNone/>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descr="Image"/>
                  <pic:cNvPicPr>
                    <a:picLocks noChangeAspect="1"/>
                  </pic:cNvPicPr>
                </pic:nvPicPr>
                <pic:blipFill rotWithShape="1">
                  <a:blip r:embed="rId2">
                    <a:extLst>
                      <a:ext uri="{28A0092B-C50C-407E-A947-70E740481C1C}">
                        <a14:useLocalDpi xmlns:a14="http://schemas.microsoft.com/office/drawing/2010/main" val="0"/>
                      </a:ext>
                    </a:extLst>
                  </a:blip>
                  <a:srcRect l="15947" t="10929" r="27907" b="31574"/>
                  <a:stretch/>
                </pic:blipFill>
                <pic:spPr bwMode="auto">
                  <a:xfrm>
                    <a:off x="0" y="0"/>
                    <a:ext cx="1790700" cy="1282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Header"/>
    </w:pPr>
    <w:r w:rsidRPr="009B72E5">
      <w:rPr>
        <w:noProof/>
        <w:lang w:eastAsia="en-GB"/>
      </w:rPr>
      <w:drawing>
        <wp:anchor distT="0" distB="0" distL="114300" distR="114300" simplePos="0" relativeHeight="251668480" behindDoc="1" locked="0" layoutInCell="1" allowOverlap="1" wp14:anchorId="67BD2E88" wp14:editId="5FAF034D">
          <wp:simplePos x="0" y="0"/>
          <wp:positionH relativeFrom="column">
            <wp:posOffset>-962025</wp:posOffset>
          </wp:positionH>
          <wp:positionV relativeFrom="paragraph">
            <wp:posOffset>-478155</wp:posOffset>
          </wp:positionV>
          <wp:extent cx="2105025" cy="1513840"/>
          <wp:effectExtent l="0" t="0" r="9525" b="0"/>
          <wp:wrapNone/>
          <wp:docPr id="1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descr="Image"/>
                  <pic:cNvPicPr>
                    <a:picLocks noChangeAspect="1"/>
                  </pic:cNvPicPr>
                </pic:nvPicPr>
                <pic:blipFill rotWithShape="1">
                  <a:blip r:embed="rId1">
                    <a:extLst>
                      <a:ext uri="{28A0092B-C50C-407E-A947-70E740481C1C}">
                        <a14:useLocalDpi xmlns:a14="http://schemas.microsoft.com/office/drawing/2010/main" val="0"/>
                      </a:ext>
                    </a:extLst>
                  </a:blip>
                  <a:srcRect l="15781" t="11167" r="27409" b="30385"/>
                  <a:stretch/>
                </pic:blipFill>
                <pic:spPr bwMode="auto">
                  <a:xfrm>
                    <a:off x="0" y="0"/>
                    <a:ext cx="210502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9CE">
      <w:rPr>
        <w:noProof/>
        <w:lang w:eastAsia="en-GB"/>
      </w:rPr>
      <w:drawing>
        <wp:anchor distT="0" distB="0" distL="114300" distR="114300" simplePos="0" relativeHeight="251665408" behindDoc="1" locked="0" layoutInCell="1" allowOverlap="1" wp14:anchorId="581E9064" wp14:editId="279629FE">
          <wp:simplePos x="0" y="0"/>
          <wp:positionH relativeFrom="column">
            <wp:posOffset>4333875</wp:posOffset>
          </wp:positionH>
          <wp:positionV relativeFrom="paragraph">
            <wp:posOffset>-287655</wp:posOffset>
          </wp:positionV>
          <wp:extent cx="2080895" cy="857250"/>
          <wp:effectExtent l="0" t="0" r="0" b="0"/>
          <wp:wrapTight wrapText="bothSides">
            <wp:wrapPolygon edited="0">
              <wp:start x="10085" y="1440"/>
              <wp:lineTo x="8701" y="7200"/>
              <wp:lineTo x="1186" y="14400"/>
              <wp:lineTo x="395" y="15360"/>
              <wp:lineTo x="791" y="19680"/>
              <wp:lineTo x="20763" y="19680"/>
              <wp:lineTo x="21356" y="15360"/>
              <wp:lineTo x="20170" y="14400"/>
              <wp:lineTo x="11074" y="10080"/>
              <wp:lineTo x="12458" y="7680"/>
              <wp:lineTo x="12458" y="3360"/>
              <wp:lineTo x="11271" y="1440"/>
              <wp:lineTo x="10085" y="14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Logo-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895"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CD8"/>
    <w:multiLevelType w:val="hybridMultilevel"/>
    <w:tmpl w:val="E86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54D3D"/>
    <w:multiLevelType w:val="hybridMultilevel"/>
    <w:tmpl w:val="BCE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84"/>
    <w:rsid w:val="000B0B8F"/>
    <w:rsid w:val="00203CE2"/>
    <w:rsid w:val="002124FA"/>
    <w:rsid w:val="002653A2"/>
    <w:rsid w:val="002A49CE"/>
    <w:rsid w:val="002F5762"/>
    <w:rsid w:val="00370EA4"/>
    <w:rsid w:val="003861FF"/>
    <w:rsid w:val="00387D28"/>
    <w:rsid w:val="00395D4D"/>
    <w:rsid w:val="004A1865"/>
    <w:rsid w:val="004B1F80"/>
    <w:rsid w:val="004F1FD4"/>
    <w:rsid w:val="005362C8"/>
    <w:rsid w:val="00565366"/>
    <w:rsid w:val="00623B61"/>
    <w:rsid w:val="006B5B6B"/>
    <w:rsid w:val="006D56EC"/>
    <w:rsid w:val="006F5180"/>
    <w:rsid w:val="007C1E8F"/>
    <w:rsid w:val="009412B9"/>
    <w:rsid w:val="009414A5"/>
    <w:rsid w:val="00967964"/>
    <w:rsid w:val="009A5A0E"/>
    <w:rsid w:val="009B72E5"/>
    <w:rsid w:val="00A258FE"/>
    <w:rsid w:val="00A43484"/>
    <w:rsid w:val="00A54660"/>
    <w:rsid w:val="00AD1ABC"/>
    <w:rsid w:val="00B052FF"/>
    <w:rsid w:val="00B433A6"/>
    <w:rsid w:val="00B62266"/>
    <w:rsid w:val="00BE0F72"/>
    <w:rsid w:val="00C45F6B"/>
    <w:rsid w:val="00C86F7D"/>
    <w:rsid w:val="00CC1303"/>
    <w:rsid w:val="00CE034F"/>
    <w:rsid w:val="00DB7AA5"/>
    <w:rsid w:val="00E01160"/>
    <w:rsid w:val="00E36F90"/>
    <w:rsid w:val="00E77110"/>
    <w:rsid w:val="00F10E7F"/>
    <w:rsid w:val="00FF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spacing w:after="200" w:line="276" w:lineRule="auto"/>
      <w:ind w:left="720"/>
      <w:contextualSpacing/>
    </w:pPr>
    <w:rPr>
      <w:rFonts w:ascii="Calibri" w:eastAsia="Times New Roman" w:hAnsi="Calibri" w:cs="Times New Roman"/>
      <w:sz w:val="22"/>
      <w:szCs w:val="22"/>
      <w:lang w:val="en-US" w:eastAsia="ja-JP"/>
    </w:rPr>
  </w:style>
  <w:style w:type="paragraph" w:customStyle="1" w:styleId="LTASub-heading1">
    <w:name w:val="LTA Sub-heading 1"/>
    <w:uiPriority w:val="5"/>
    <w:qFormat/>
    <w:rsid w:val="002F5762"/>
    <w:pPr>
      <w:spacing w:before="360" w:after="0" w:line="204" w:lineRule="auto"/>
    </w:pPr>
    <w:rPr>
      <w:rFonts w:ascii="Impact" w:hAnsi="Impact"/>
      <w:caps/>
      <w:noProof/>
      <w:color w:val="1F497D" w:themeColor="text2"/>
      <w:sz w:val="28"/>
    </w:rPr>
  </w:style>
  <w:style w:type="paragraph" w:customStyle="1" w:styleId="Default">
    <w:name w:val="Default"/>
    <w:rsid w:val="004B1F80"/>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LTAChapterHeading">
    <w:name w:val="LTA Chapter Heading"/>
    <w:uiPriority w:val="4"/>
    <w:qFormat/>
    <w:rsid w:val="00387D28"/>
    <w:pPr>
      <w:spacing w:after="560" w:line="204" w:lineRule="auto"/>
    </w:pPr>
    <w:rPr>
      <w:rFonts w:ascii="Impact" w:hAnsi="Impact"/>
      <w:caps/>
      <w:noProof/>
      <w:color w:val="C0504D" w:themeColor="accent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spacing w:after="200" w:line="276" w:lineRule="auto"/>
      <w:ind w:left="720"/>
      <w:contextualSpacing/>
    </w:pPr>
    <w:rPr>
      <w:rFonts w:ascii="Calibri" w:eastAsia="Times New Roman" w:hAnsi="Calibri" w:cs="Times New Roman"/>
      <w:sz w:val="22"/>
      <w:szCs w:val="22"/>
      <w:lang w:val="en-US" w:eastAsia="ja-JP"/>
    </w:rPr>
  </w:style>
  <w:style w:type="paragraph" w:customStyle="1" w:styleId="LTASub-heading1">
    <w:name w:val="LTA Sub-heading 1"/>
    <w:uiPriority w:val="5"/>
    <w:qFormat/>
    <w:rsid w:val="002F5762"/>
    <w:pPr>
      <w:spacing w:before="360" w:after="0" w:line="204" w:lineRule="auto"/>
    </w:pPr>
    <w:rPr>
      <w:rFonts w:ascii="Impact" w:hAnsi="Impact"/>
      <w:caps/>
      <w:noProof/>
      <w:color w:val="1F497D" w:themeColor="text2"/>
      <w:sz w:val="28"/>
    </w:rPr>
  </w:style>
  <w:style w:type="paragraph" w:customStyle="1" w:styleId="Default">
    <w:name w:val="Default"/>
    <w:rsid w:val="004B1F80"/>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LTAChapterHeading">
    <w:name w:val="LTA Chapter Heading"/>
    <w:uiPriority w:val="4"/>
    <w:qFormat/>
    <w:rsid w:val="00387D28"/>
    <w:pPr>
      <w:spacing w:after="560" w:line="204" w:lineRule="auto"/>
    </w:pPr>
    <w:rPr>
      <w:rFonts w:ascii="Impact" w:hAnsi="Impact"/>
      <w:caps/>
      <w:noProof/>
      <w:color w:val="C0504D" w:themeColor="accent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Lawn Tennis Association</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Woodham</dc:creator>
  <cp:lastModifiedBy>Tim Sagar</cp:lastModifiedBy>
  <cp:revision>16</cp:revision>
  <cp:lastPrinted>2019-10-28T11:54:00Z</cp:lastPrinted>
  <dcterms:created xsi:type="dcterms:W3CDTF">2021-01-07T15:05:00Z</dcterms:created>
  <dcterms:modified xsi:type="dcterms:W3CDTF">2021-02-10T16:20:00Z</dcterms:modified>
</cp:coreProperties>
</file>